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宋体" w:eastAsia="宋体"/>
          <w:b/>
          <w:bCs/>
          <w:sz w:val="36"/>
          <w:szCs w:val="36"/>
        </w:rPr>
      </w:pPr>
      <w:bookmarkStart w:id="0" w:name="_GoBack"/>
      <w:r>
        <w:rPr>
          <w:rFonts w:ascii="宋体" w:eastAsia="宋体" w:cs="宋体"/>
          <w:b/>
          <w:bCs/>
          <w:sz w:val="36"/>
          <w:szCs w:val="36"/>
        </w:rPr>
        <w:t>202</w:t>
      </w:r>
      <w:r>
        <w:rPr>
          <w:rFonts w:ascii="宋体" w:eastAsia="宋体" w:cs="宋体" w:hint="eastAsia"/>
          <w:b/>
          <w:bCs/>
          <w:sz w:val="36"/>
          <w:szCs w:val="36"/>
        </w:rPr>
        <w:t>5</w:t>
      </w:r>
      <w:r>
        <w:rPr>
          <w:rFonts w:ascii="宋体" w:eastAsia="宋体" w:cs="宋体"/>
          <w:b/>
          <w:bCs/>
          <w:sz w:val="36"/>
          <w:szCs w:val="36"/>
        </w:rPr>
        <w:t>年</w:t>
      </w:r>
      <w:r>
        <w:rPr>
          <w:rFonts w:ascii="宋体" w:eastAsia="宋体" w:cs="宋体" w:hint="eastAsia"/>
          <w:b/>
          <w:bCs/>
          <w:sz w:val="36"/>
          <w:szCs w:val="36"/>
        </w:rPr>
        <w:t>暑假</w:t>
      </w:r>
      <w:r>
        <w:rPr>
          <w:rFonts w:ascii="宋体" w:eastAsia="宋体" w:cs="宋体"/>
          <w:b/>
          <w:bCs/>
          <w:sz w:val="36"/>
          <w:szCs w:val="36"/>
        </w:rPr>
        <w:t>社会实践</w:t>
      </w:r>
      <w:r>
        <w:rPr>
          <w:rFonts w:ascii="宋体" w:eastAsia="宋体" w:cs="宋体" w:hint="eastAsia"/>
          <w:b/>
          <w:bCs/>
          <w:sz w:val="36"/>
          <w:szCs w:val="36"/>
        </w:rPr>
        <w:t>星级认定及</w:t>
      </w:r>
      <w:r>
        <w:rPr>
          <w:rFonts w:ascii="宋体" w:eastAsia="宋体" w:cs="宋体"/>
          <w:b/>
          <w:bCs/>
          <w:sz w:val="36"/>
          <w:szCs w:val="36"/>
        </w:rPr>
        <w:t>学时认定细则</w:t>
      </w:r>
    </w:p>
    <w:p>
      <w:pPr>
        <w:spacing w:line="560" w:lineRule="exact"/>
        <w:ind w:firstLineChars="200" w:firstLine="560"/>
        <w:rPr>
          <w:rFonts w:ascii="仿宋_GB2312" w:eastAsia="仿宋_GB2312" w:cs="仿宋_GB2312" w:hint="eastAsia"/>
          <w:sz w:val="28"/>
          <w:szCs w:val="28"/>
        </w:rPr>
      </w:pPr>
      <w:bookmarkEnd w:id="0"/>
      <w:r>
        <w:rPr>
          <w:rFonts w:ascii="仿宋_GB2312" w:eastAsia="仿宋_GB2312" w:cs="仿宋_GB2312" w:hint="eastAsia"/>
          <w:sz w:val="28"/>
          <w:szCs w:val="28"/>
        </w:rPr>
        <w:t>为进一步提高大学生社会实践队建设质量和工作水平，以评促改、以评促建，提升实践育人效果，特制定本细则。</w:t>
      </w:r>
    </w:p>
    <w:p>
      <w:pPr>
        <w:spacing w:line="560" w:lineRule="exact"/>
        <w:rPr>
          <w:rFonts w:ascii="黑体" w:eastAsia="黑体" w:cs="仿宋_GB2312" w:hint="eastAsia"/>
          <w:sz w:val="28"/>
          <w:szCs w:val="28"/>
        </w:rPr>
      </w:pPr>
      <w:r>
        <w:rPr>
          <w:rFonts w:ascii="黑体" w:eastAsia="黑体" w:cs="仿宋_GB2312" w:hint="eastAsia"/>
          <w:sz w:val="28"/>
          <w:szCs w:val="28"/>
        </w:rPr>
        <w:t>一、各星级实践队参评要求与学时认定标准</w:t>
      </w:r>
    </w:p>
    <w:p>
      <w:pPr>
        <w:spacing w:line="560" w:lineRule="exact"/>
        <w:ind w:firstLineChars="100" w:firstLine="280"/>
        <w:rPr>
          <w:rFonts w:ascii="仿宋_GB2312" w:eastAsia="仿宋_GB2312" w:cs="仿宋_GB2312" w:hint="eastAsia"/>
          <w:sz w:val="28"/>
          <w:szCs w:val="28"/>
        </w:rPr>
      </w:pPr>
      <w:r>
        <w:rPr>
          <w:rFonts w:ascii="仿宋_GB2312" w:eastAsia="仿宋_GB2312" w:cs="仿宋_GB2312" w:hint="eastAsia"/>
          <w:sz w:val="28"/>
          <w:szCs w:val="28"/>
        </w:rPr>
        <w:t>（一）五星级实践队</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1.参评要求：</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每学院可推荐1支实践队申报。主题鲜明，创新性强，实践价值高，实践时长不低于70小时。前期准备充分，收集资料广泛，选择的实践地具有代表性且已建立联系，人员分工合理明确。实施计划安排合理，活动内容多样，能够与大学生专业知识相结合，具有较强的可行性。调研内容与社会热点问题相结合，对社会问题有深刻的探索，调研探索可以解决当前社会问题。实践成果丰硕，在省级及以上社会实践类项目评选中获评者优先。在实践过程中，分工明确，设有专门的宣传负责人，宣传稿件十五篇以上，且在一级媒体网站上至少发表两篇。（媒体分类标准附后）路演设计合理，内容全面，条理清楚，突出重点。答辩人举止大方，表达完整，措辞准确，在规定时间内完成。</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2.学时认定：</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2022级、2023级学生基础学时为15，上限学时为30。2024级学生基础学时为12，上限学时为23。无实践报告不予认定学时。</w:t>
      </w:r>
    </w:p>
    <w:p>
      <w:pPr>
        <w:spacing w:line="560" w:lineRule="exact"/>
        <w:ind w:firstLineChars="100" w:firstLine="280"/>
        <w:rPr>
          <w:rFonts w:ascii="仿宋_GB2312" w:eastAsia="仿宋_GB2312" w:cs="仿宋_GB2312" w:hint="eastAsia"/>
          <w:sz w:val="28"/>
          <w:szCs w:val="28"/>
        </w:rPr>
      </w:pPr>
      <w:r>
        <w:rPr>
          <w:rFonts w:ascii="仿宋_GB2312" w:eastAsia="仿宋_GB2312" w:cs="仿宋_GB2312" w:hint="eastAsia"/>
          <w:sz w:val="28"/>
          <w:szCs w:val="28"/>
        </w:rPr>
        <w:t>（二）四星级实践队</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1.参评要求：</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每学院可推荐不超过2支实践队申报。活动主题鲜明，具有一定的创新性，实践价值高，实践时长不低于70小时。前期准备充分，内容丰富。实施计划安排充分，与大学生专业知识有一定的结合，具有可行性。调研内容与社会问题相结合，对社会问题有较为深刻的探索，调研探索基本对存在问题形成了有效的解决方案。实践成果丰硕，在省级及以上社会实践类项目评选中获评者优先。在实践过程中，分工明确，设有专门的宣传负责人，宣传稿件十篇以上，且在一级媒体网站上至少发表一篇。路演设计合理，内容全面，条理清楚，突出重点。答辩人举止大方，表达完整，措辞准确，在规定时间内完成。</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2.学时认定：</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2022级、2023级学生基础学时为15，上限学时为25。2024级学生基础学时为12，上限学时为20。无实践报告不予认定学时。</w:t>
      </w:r>
    </w:p>
    <w:p>
      <w:pPr>
        <w:spacing w:line="560" w:lineRule="exact"/>
        <w:ind w:firstLineChars="100" w:firstLine="280"/>
        <w:rPr>
          <w:rFonts w:ascii="仿宋_GB2312" w:eastAsia="仿宋_GB2312" w:cs="仿宋_GB2312" w:hint="eastAsia"/>
          <w:sz w:val="28"/>
          <w:szCs w:val="28"/>
        </w:rPr>
      </w:pPr>
      <w:r>
        <w:rPr>
          <w:rFonts w:ascii="仿宋_GB2312" w:eastAsia="仿宋_GB2312" w:cs="仿宋_GB2312" w:hint="eastAsia"/>
          <w:sz w:val="28"/>
          <w:szCs w:val="28"/>
        </w:rPr>
        <w:t>（三）三星级实践队</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1.参评要求：每学院可推荐不超过3支实践队申报。主题鲜明，可行性较高，实践时长不低于70小时。前期有所准备，实践地点选取得当。计划安排条理较清晰，与大学生专业知识有所结合。调研内容与社会热点问题结合较为紧密，对社会问题有尝试性的探索。实践总结及时。在实践过程中，分工明确，设有专门的宣传负责人，宣传稿件十篇以上。路演设计合理，内容全面，条理清楚，突出重点。答辩人举止大方，表达完整，措辞准确，在规定时间内完成。</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2.学时认定：</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2022级、2023级基础学时为15，上限学时为20。2024级学生基础学时为12，上限学时为15。无实践报告不予认定学时。</w:t>
      </w:r>
    </w:p>
    <w:p>
      <w:pPr>
        <w:spacing w:line="560" w:lineRule="exact"/>
        <w:ind w:firstLineChars="100" w:firstLine="280"/>
        <w:rPr>
          <w:rFonts w:ascii="仿宋_GB2312" w:eastAsia="仿宋_GB2312" w:cs="仿宋_GB2312" w:hint="eastAsia"/>
          <w:sz w:val="28"/>
          <w:szCs w:val="28"/>
        </w:rPr>
      </w:pPr>
      <w:r>
        <w:rPr>
          <w:rFonts w:ascii="仿宋_GB2312" w:eastAsia="仿宋_GB2312" w:cs="仿宋_GB2312" w:hint="eastAsia"/>
          <w:sz w:val="28"/>
          <w:szCs w:val="28"/>
        </w:rPr>
        <w:t>（四）二星级实践队</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1.参评要求：</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各学院团委自行认定。主题鲜明，可行性较高，实践时长不低于50小时。前期有所准备，实践地点选取得当。选题明确，调研内容与社会热点问题结合较为紧密。实践总结及时。在实践过程中，分工明确，设有专门的宣传负责人，宣传稿件六篇以上。</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2.学时认定：</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2022级、2023级基础学时为11，上限学时为15。2024级学生基础学时为9，上限学时为12。无实践报告不予认定学时。</w:t>
      </w:r>
    </w:p>
    <w:p>
      <w:pPr>
        <w:spacing w:line="560" w:lineRule="exact"/>
        <w:ind w:firstLineChars="100" w:firstLine="280"/>
        <w:rPr>
          <w:rFonts w:ascii="仿宋_GB2312" w:eastAsia="仿宋_GB2312" w:cs="仿宋_GB2312" w:hint="eastAsia"/>
          <w:sz w:val="28"/>
          <w:szCs w:val="28"/>
        </w:rPr>
      </w:pPr>
      <w:r>
        <w:rPr>
          <w:rFonts w:ascii="仿宋_GB2312" w:eastAsia="仿宋_GB2312" w:cs="仿宋_GB2312" w:hint="eastAsia"/>
          <w:sz w:val="28"/>
          <w:szCs w:val="28"/>
        </w:rPr>
        <w:t>（五）一星级实践队</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1.参评要求：</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各学院团委自行认定。主题鲜明，可行性较高，实践时长不低于40小时。</w:t>
      </w:r>
    </w:p>
    <w:p>
      <w:pPr>
        <w:spacing w:line="560" w:lineRule="exact"/>
        <w:rPr>
          <w:rFonts w:ascii="仿宋_GB2312" w:eastAsia="仿宋_GB2312" w:cs="仿宋_GB2312" w:hint="eastAsia"/>
          <w:sz w:val="28"/>
          <w:szCs w:val="28"/>
        </w:rPr>
      </w:pPr>
      <w:r>
        <w:rPr>
          <w:rFonts w:ascii="仿宋_GB2312" w:eastAsia="仿宋_GB2312" w:cs="仿宋_GB2312" w:hint="eastAsia"/>
          <w:sz w:val="28"/>
          <w:szCs w:val="28"/>
        </w:rPr>
        <w:t>前期有所准备，实践地点选取得当。选题明确，能较好完成选题相关内容。实践总结及时。在实践过程中，分工明确，设有专门的宣传负责人，宣传稿件三篇以上。</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2.学时认定：</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2022级、2023级基础学时为8，上限学时为11。2024级学生基础学时为6，上限学时为9。无实践报告不予认定学时。</w:t>
      </w:r>
    </w:p>
    <w:p>
      <w:pPr>
        <w:spacing w:line="560" w:lineRule="exact"/>
        <w:ind w:firstLineChars="200" w:firstLine="560"/>
        <w:rPr>
          <w:rFonts w:ascii="仿宋_GB2312" w:eastAsia="仿宋_GB2312" w:cs="仿宋_GB2312" w:hint="eastAsia"/>
          <w:sz w:val="28"/>
          <w:szCs w:val="28"/>
        </w:rPr>
      </w:pPr>
    </w:p>
    <w:p>
      <w:pPr>
        <w:spacing w:line="560" w:lineRule="exact"/>
        <w:rPr>
          <w:rFonts w:ascii="黑体" w:eastAsia="黑体" w:cs="仿宋_GB2312" w:hint="eastAsia"/>
          <w:sz w:val="28"/>
          <w:szCs w:val="28"/>
        </w:rPr>
      </w:pPr>
      <w:r>
        <w:rPr>
          <w:rFonts w:ascii="黑体" w:eastAsia="黑体" w:cs="仿宋_GB2312" w:hint="eastAsia"/>
          <w:sz w:val="28"/>
          <w:szCs w:val="28"/>
        </w:rPr>
        <w:t>二、其他注意事项</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1.校级及院级支教队需要统一跟大学生社会实践与志愿服务指导中心报备，支教队、校级重点实践队评选名额单设，不占学院指标。</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2.上述各级别星级实践队数量为评选上限，实际评选数量视申报队伍的工作质量而定。</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3.同时参加多个实践队的学生，按照就高原则赋予学时。</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4.实习认定需提供实习单位盖章证明，有薪资的实习不予学时认定。</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5.原则上未申报或未按要求立项的实践队不予学时认定。</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6.实践结果认定不合格的实践队不予学时认定。</w:t>
      </w:r>
    </w:p>
    <w:p>
      <w:pPr>
        <w:spacing w:line="5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7.实践中心将开展学时认定抽查工作。各学院须按标准认定学时，对违规认定学时的学院将减少星级实践队推荐名额。</w:t>
      </w:r>
    </w:p>
    <w:p>
      <w:pPr>
        <w:spacing w:line="560" w:lineRule="exact"/>
        <w:ind w:firstLineChars="200" w:firstLine="560"/>
        <w:rPr>
          <w:rFonts w:ascii="仿宋_GB2312" w:eastAsia="仿宋_GB2312" w:cs="仿宋_GB2312" w:hint="eastAsia"/>
          <w:sz w:val="28"/>
          <w:szCs w:val="28"/>
        </w:rPr>
      </w:pPr>
    </w:p>
    <w:p>
      <w:pPr>
        <w:spacing w:after="272"/>
        <w:ind w:left="10" w:right="866"/>
        <w:jc w:val="right"/>
        <w:rPr>
          <w:rFonts w:ascii="仿宋_GB2312" w:eastAsia="仿宋_GB2312" w:cs="仿宋" w:hint="eastAsia"/>
          <w:sz w:val="28"/>
          <w:szCs w:val="28"/>
        </w:rPr>
      </w:pPr>
      <w:r>
        <w:rPr>
          <w:rFonts w:ascii="仿宋_GB2312" w:eastAsia="仿宋_GB2312" w:cs="仿宋_GB2312" w:hint="eastAsia"/>
          <w:sz w:val="28"/>
          <w:szCs w:val="28"/>
        </w:rPr>
        <w:t xml:space="preserve"> </w:t>
      </w:r>
      <w:r>
        <w:rPr>
          <w:rFonts w:ascii="仿宋_GB2312" w:eastAsia="仿宋_GB2312" w:cs="仿宋" w:hint="eastAsia"/>
          <w:sz w:val="28"/>
          <w:szCs w:val="28"/>
        </w:rPr>
        <w:t xml:space="preserve"> 共青团中国石油大学（华东）委员会</w:t>
      </w:r>
    </w:p>
    <w:p>
      <w:pPr>
        <w:spacing w:after="272"/>
        <w:ind w:left="10" w:right="866"/>
        <w:jc w:val="right"/>
        <w:rPr>
          <w:rFonts w:ascii="仿宋_GB2312" w:eastAsia="仿宋_GB2312" w:cs="仿宋" w:hint="eastAsia"/>
          <w:sz w:val="28"/>
          <w:szCs w:val="28"/>
        </w:rPr>
        <w:sectPr>
          <w:pgSz w:w="11910" w:h="16840"/>
          <w:pgMar w:top="1521" w:right="1158" w:bottom="658" w:left="1150" w:header="720" w:footer="720" w:gutter="0"/>
          <w:docGrid w:linePitch="312" w:charSpace="0"/>
        </w:sectPr>
      </w:pPr>
      <w:r>
        <w:rPr>
          <w:rFonts w:ascii="仿宋_GB2312" w:eastAsia="仿宋_GB2312" w:cs="仿宋" w:hint="eastAsia"/>
          <w:sz w:val="28"/>
          <w:szCs w:val="28"/>
        </w:rPr>
        <w:t>大学生社会实践与志愿服务指导中心</w:t>
      </w:r>
    </w:p>
    <w:p>
      <w:pPr>
        <w:widowControl/>
        <w:spacing w:line="560" w:lineRule="exact"/>
        <w:ind w:firstLineChars="200" w:firstLine="640"/>
        <w:jc w:val="left"/>
        <w:rPr>
          <w:rFonts w:ascii="仿宋_GB2312" w:eastAsia="仿宋_GB2312" w:cs="黑体" w:hint="eastAsia"/>
          <w:sz w:val="32"/>
          <w:szCs w:val="32"/>
        </w:rPr>
      </w:pPr>
      <w:r>
        <w:rPr>
          <w:rFonts w:ascii="仿宋_GB2312" w:eastAsia="仿宋_GB2312" w:cs="黑体" w:hint="eastAsia"/>
          <w:sz w:val="32"/>
          <w:szCs w:val="32"/>
        </w:rPr>
        <w:t>附：媒体划分标准</w:t>
      </w:r>
    </w:p>
    <w:tbl>
      <w:tblPr>
        <w:tblpPr w:leftFromText="180" w:rightFromText="180" w:vertAnchor="text" w:horzAnchor="page" w:tblpX="2090" w:tblpY="531"/>
        <w:tblOverlap w:val="never"/>
        <w:tblW w:w="1275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617"/>
        <w:gridCol w:w="11133"/>
      </w:tblGrid>
      <w:tr>
        <w:trPr>
          <w:trHeight w:val="480"/>
        </w:trPr>
        <w:tc>
          <w:tcPr>
            <w:tcW w:w="12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方正小标宋简体" w:hint="eastAsia"/>
                <w:color w:val="000000"/>
                <w:sz w:val="32"/>
                <w:szCs w:val="32"/>
              </w:rPr>
            </w:pPr>
            <w:r>
              <w:rPr>
                <w:rFonts w:ascii="仿宋_GB2312" w:eastAsia="仿宋_GB2312" w:cs="黑体" w:hint="eastAsia"/>
                <w:color w:val="000000"/>
                <w:kern w:val="0"/>
                <w:sz w:val="32"/>
                <w:szCs w:val="32"/>
              </w:rPr>
              <w:t>校内媒体平台等级划分</w:t>
            </w:r>
          </w:p>
        </w:tc>
      </w:tr>
      <w:tr>
        <w:trPr>
          <w:trHeight w:val="405"/>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媒体等级</w:t>
            </w:r>
          </w:p>
        </w:tc>
        <w:tc>
          <w:tcPr>
            <w:tcW w:w="1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媒体名称</w:t>
            </w:r>
          </w:p>
        </w:tc>
      </w:tr>
      <w:tr>
        <w:trPr>
          <w:trHeight w:val="405"/>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一级媒体</w:t>
            </w:r>
          </w:p>
        </w:tc>
        <w:tc>
          <w:tcPr>
            <w:tcW w:w="1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宋体" w:hint="eastAsia"/>
                <w:color w:val="000000"/>
                <w:sz w:val="28"/>
                <w:szCs w:val="28"/>
              </w:rPr>
            </w:pPr>
            <w:r>
              <w:rPr>
                <w:rFonts w:ascii="仿宋_GB2312" w:eastAsia="仿宋_GB2312" w:cs="宋体" w:hint="eastAsia"/>
                <w:color w:val="000000"/>
                <w:kern w:val="0"/>
                <w:sz w:val="28"/>
                <w:szCs w:val="28"/>
              </w:rPr>
              <w:t>校报、学校主页、学校官方微信、青春石大官方微信</w:t>
            </w:r>
          </w:p>
        </w:tc>
      </w:tr>
      <w:tr>
        <w:trPr>
          <w:trHeight w:val="405"/>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二级媒体</w:t>
            </w:r>
          </w:p>
        </w:tc>
        <w:tc>
          <w:tcPr>
            <w:tcW w:w="1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宋体" w:hint="eastAsia"/>
                <w:color w:val="000000"/>
                <w:sz w:val="28"/>
                <w:szCs w:val="28"/>
              </w:rPr>
            </w:pPr>
            <w:r>
              <w:rPr>
                <w:rFonts w:ascii="仿宋_GB2312" w:eastAsia="仿宋_GB2312" w:cs="宋体" w:hint="eastAsia"/>
                <w:color w:val="000000"/>
                <w:kern w:val="0"/>
                <w:sz w:val="28"/>
                <w:szCs w:val="28"/>
              </w:rPr>
              <w:t>新闻、党委学生工作部网站网、荟萃青年网站、实践石大官方微信</w:t>
            </w:r>
          </w:p>
        </w:tc>
      </w:tr>
      <w:tr>
        <w:trPr>
          <w:trHeight w:val="1215"/>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三级媒体</w:t>
            </w:r>
          </w:p>
        </w:tc>
        <w:tc>
          <w:tcPr>
            <w:tcW w:w="1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宋体" w:hint="eastAsia"/>
                <w:color w:val="000000"/>
                <w:sz w:val="28"/>
                <w:szCs w:val="28"/>
              </w:rPr>
            </w:pPr>
            <w:r>
              <w:rPr>
                <w:rFonts w:ascii="仿宋_GB2312" w:eastAsia="仿宋_GB2312" w:cs="宋体" w:hint="eastAsia"/>
                <w:color w:val="000000"/>
                <w:kern w:val="0"/>
                <w:sz w:val="28"/>
                <w:szCs w:val="28"/>
              </w:rPr>
              <w:t>校内其他职能部门网站、学院网站、学校官方微博、学校官方QQ平台、学校共青团官方微博、学校共青团官方QQ平台、学院官方微信、学院官方微博、学院官方QQ平台、学院易班、学院官方宣传海报、学院官方宣传视频、其他校内宣传平台</w:t>
            </w:r>
          </w:p>
        </w:tc>
      </w:tr>
      <w:tr>
        <w:trPr>
          <w:trHeight w:val="285"/>
        </w:trPr>
        <w:tc>
          <w:tcPr>
            <w:tcW w:w="1617" w:type="dxa"/>
            <w:tcBorders>
              <w:top w:val="nil"/>
              <w:left w:val="nil"/>
              <w:bottom w:val="nil"/>
              <w:right w:val="nil"/>
            </w:tcBorders>
            <w:shd w:val="clear" w:color="auto" w:fill="auto"/>
            <w:vAlign w:val="center"/>
          </w:tcPr>
          <w:p>
            <w:pPr>
              <w:widowControl/>
              <w:spacing w:line="400" w:lineRule="exact"/>
              <w:jc w:val="center"/>
              <w:textAlignment w:val="center"/>
              <w:rPr>
                <w:rFonts w:ascii="仿宋_GB2312" w:eastAsia="仿宋_GB2312" w:cs="黑体" w:hint="eastAsia"/>
                <w:color w:val="000000"/>
                <w:kern w:val="0"/>
                <w:sz w:val="32"/>
                <w:szCs w:val="32"/>
              </w:rPr>
            </w:pPr>
          </w:p>
        </w:tc>
        <w:tc>
          <w:tcPr>
            <w:tcW w:w="11133" w:type="dxa"/>
            <w:tcBorders>
              <w:top w:val="nil"/>
              <w:left w:val="nil"/>
              <w:bottom w:val="nil"/>
              <w:right w:val="nil"/>
            </w:tcBorders>
            <w:shd w:val="clear" w:color="auto" w:fill="auto"/>
            <w:vAlign w:val="center"/>
          </w:tcPr>
          <w:p>
            <w:pPr>
              <w:widowControl/>
              <w:spacing w:line="400" w:lineRule="exact"/>
              <w:jc w:val="center"/>
              <w:textAlignment w:val="center"/>
              <w:rPr>
                <w:rFonts w:ascii="仿宋_GB2312" w:eastAsia="仿宋_GB2312" w:cs="黑体" w:hint="eastAsia"/>
                <w:color w:val="000000"/>
                <w:kern w:val="0"/>
                <w:sz w:val="32"/>
                <w:szCs w:val="32"/>
              </w:rPr>
            </w:pPr>
          </w:p>
        </w:tc>
      </w:tr>
      <w:tr>
        <w:trPr>
          <w:trHeight w:val="480"/>
        </w:trPr>
        <w:tc>
          <w:tcPr>
            <w:tcW w:w="12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kern w:val="0"/>
                <w:sz w:val="32"/>
                <w:szCs w:val="32"/>
              </w:rPr>
            </w:pPr>
            <w:r>
              <w:rPr>
                <w:rFonts w:ascii="仿宋_GB2312" w:eastAsia="仿宋_GB2312" w:cs="黑体" w:hint="eastAsia"/>
                <w:color w:val="000000"/>
                <w:kern w:val="0"/>
                <w:sz w:val="32"/>
                <w:szCs w:val="32"/>
              </w:rPr>
              <w:t>校外纸质媒体、电台、电视台等等级划分</w:t>
            </w:r>
          </w:p>
        </w:tc>
      </w:tr>
      <w:tr>
        <w:trPr>
          <w:trHeight w:val="405"/>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媒体等级</w:t>
            </w:r>
          </w:p>
        </w:tc>
        <w:tc>
          <w:tcPr>
            <w:tcW w:w="1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媒体名称</w:t>
            </w:r>
          </w:p>
        </w:tc>
      </w:tr>
      <w:tr>
        <w:trPr>
          <w:trHeight w:val="810"/>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一级媒体</w:t>
            </w:r>
          </w:p>
        </w:tc>
        <w:tc>
          <w:tcPr>
            <w:tcW w:w="1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宋体" w:hint="eastAsia"/>
                <w:color w:val="000000"/>
                <w:sz w:val="28"/>
                <w:szCs w:val="28"/>
              </w:rPr>
            </w:pPr>
            <w:r>
              <w:rPr>
                <w:rFonts w:ascii="仿宋_GB2312" w:eastAsia="仿宋_GB2312" w:cs="宋体" w:hint="eastAsia"/>
                <w:color w:val="000000"/>
                <w:kern w:val="0"/>
                <w:sz w:val="28"/>
                <w:szCs w:val="28"/>
              </w:rPr>
              <w:t>新华社、人民日报、光明日报、经济日报、解放军报、新华日报、科技日报、中国社会科学报、中国教育报、中国青年报、中央电视台、中央人民广播电台等同级别的纸媒、电视台、电台等</w:t>
            </w:r>
          </w:p>
        </w:tc>
      </w:tr>
      <w:tr>
        <w:trPr>
          <w:trHeight w:val="810"/>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二级媒体</w:t>
            </w:r>
          </w:p>
        </w:tc>
        <w:tc>
          <w:tcPr>
            <w:tcW w:w="1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宋体" w:hint="eastAsia"/>
                <w:color w:val="000000"/>
                <w:sz w:val="28"/>
                <w:szCs w:val="28"/>
              </w:rPr>
            </w:pPr>
            <w:r>
              <w:rPr>
                <w:rFonts w:ascii="仿宋_GB2312" w:eastAsia="仿宋_GB2312" w:cs="宋体" w:hint="eastAsia"/>
                <w:color w:val="000000"/>
                <w:kern w:val="0"/>
                <w:sz w:val="28"/>
                <w:szCs w:val="28"/>
              </w:rPr>
              <w:t>大众日报、科技日报、中国石油报、中国石化报、工人日报、山东商报、石油商报、齐鲁晚报、山东电视台、中国教育电视台、山东教育电视台等同级别的纸质媒体和电视台、电台等</w:t>
            </w:r>
          </w:p>
        </w:tc>
      </w:tr>
      <w:tr>
        <w:trPr>
          <w:trHeight w:val="405"/>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三级媒体</w:t>
            </w:r>
          </w:p>
        </w:tc>
        <w:tc>
          <w:tcPr>
            <w:tcW w:w="1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宋体" w:hint="eastAsia"/>
                <w:color w:val="000000"/>
                <w:sz w:val="28"/>
                <w:szCs w:val="28"/>
              </w:rPr>
            </w:pPr>
            <w:r>
              <w:rPr>
                <w:rFonts w:ascii="仿宋_GB2312" w:eastAsia="仿宋_GB2312" w:cs="宋体" w:hint="eastAsia"/>
                <w:color w:val="000000"/>
                <w:kern w:val="0"/>
                <w:sz w:val="28"/>
                <w:szCs w:val="28"/>
              </w:rPr>
              <w:t>青岛日报、青岛早报、青岛晚报、半岛都市报和地市级纸质媒体、电视台、电台等</w:t>
            </w:r>
          </w:p>
        </w:tc>
      </w:tr>
      <w:tr>
        <w:trPr>
          <w:trHeight w:val="285"/>
        </w:trPr>
        <w:tc>
          <w:tcPr>
            <w:tcW w:w="1617" w:type="dxa"/>
            <w:tcBorders>
              <w:top w:val="nil"/>
              <w:left w:val="nil"/>
              <w:bottom w:val="nil"/>
              <w:right w:val="nil"/>
            </w:tcBorders>
            <w:shd w:val="clear" w:color="auto" w:fill="auto"/>
            <w:vAlign w:val="center"/>
          </w:tcPr>
          <w:p>
            <w:pPr>
              <w:spacing w:line="400" w:lineRule="exact"/>
              <w:rPr>
                <w:rFonts w:ascii="仿宋_GB2312" w:eastAsia="仿宋_GB2312" w:cs="等线" w:hint="eastAsia"/>
                <w:color w:val="000000"/>
                <w:szCs w:val="21"/>
              </w:rPr>
            </w:pPr>
          </w:p>
        </w:tc>
        <w:tc>
          <w:tcPr>
            <w:tcW w:w="11133" w:type="dxa"/>
            <w:tcBorders>
              <w:top w:val="nil"/>
              <w:left w:val="nil"/>
              <w:bottom w:val="nil"/>
              <w:right w:val="nil"/>
            </w:tcBorders>
            <w:shd w:val="clear" w:color="auto" w:fill="auto"/>
            <w:vAlign w:val="center"/>
          </w:tcPr>
          <w:p>
            <w:pPr>
              <w:spacing w:line="400" w:lineRule="exact"/>
              <w:rPr>
                <w:rFonts w:ascii="仿宋_GB2312" w:eastAsia="仿宋_GB2312" w:cs="等线" w:hint="eastAsia"/>
                <w:color w:val="000000"/>
                <w:szCs w:val="21"/>
              </w:rPr>
            </w:pPr>
          </w:p>
        </w:tc>
      </w:tr>
      <w:tr>
        <w:trPr>
          <w:trHeight w:val="480"/>
        </w:trPr>
        <w:tc>
          <w:tcPr>
            <w:tcW w:w="12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方正小标宋简体" w:hint="eastAsia"/>
                <w:color w:val="000000"/>
                <w:sz w:val="32"/>
                <w:szCs w:val="32"/>
              </w:rPr>
            </w:pPr>
            <w:r>
              <w:rPr>
                <w:rFonts w:ascii="仿宋_GB2312" w:eastAsia="仿宋_GB2312" w:cs="黑体" w:hint="eastAsia"/>
                <w:color w:val="000000"/>
                <w:kern w:val="0"/>
                <w:sz w:val="32"/>
                <w:szCs w:val="32"/>
              </w:rPr>
              <w:t>校外网络媒体等级划分</w:t>
            </w:r>
          </w:p>
        </w:tc>
      </w:tr>
      <w:tr>
        <w:trPr>
          <w:trHeight w:val="405"/>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网站媒体</w:t>
            </w:r>
          </w:p>
        </w:tc>
        <w:tc>
          <w:tcPr>
            <w:tcW w:w="1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网站名称</w:t>
            </w:r>
          </w:p>
        </w:tc>
      </w:tr>
      <w:tr>
        <w:trPr>
          <w:trHeight w:val="405"/>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一级网站</w:t>
            </w:r>
          </w:p>
        </w:tc>
        <w:tc>
          <w:tcPr>
            <w:tcW w:w="1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宋体" w:hint="eastAsia"/>
                <w:color w:val="000000"/>
                <w:sz w:val="28"/>
                <w:szCs w:val="28"/>
              </w:rPr>
            </w:pPr>
            <w:r>
              <w:rPr>
                <w:rFonts w:ascii="仿宋_GB2312" w:eastAsia="仿宋_GB2312" w:cs="宋体" w:hint="eastAsia"/>
                <w:color w:val="000000"/>
                <w:kern w:val="0"/>
                <w:sz w:val="28"/>
                <w:szCs w:val="28"/>
              </w:rPr>
              <w:t>教育部、人民网、新华网、光明网、中国网、中国教育新闻网、中国新闻网等</w:t>
            </w:r>
          </w:p>
        </w:tc>
      </w:tr>
      <w:tr>
        <w:trPr>
          <w:trHeight w:val="405"/>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二级网站</w:t>
            </w:r>
          </w:p>
        </w:tc>
        <w:tc>
          <w:tcPr>
            <w:tcW w:w="1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宋体" w:hint="eastAsia"/>
                <w:color w:val="000000"/>
                <w:sz w:val="28"/>
                <w:szCs w:val="28"/>
              </w:rPr>
            </w:pPr>
            <w:r>
              <w:rPr>
                <w:rFonts w:ascii="仿宋_GB2312" w:eastAsia="仿宋_GB2312" w:cs="宋体" w:hint="eastAsia"/>
                <w:color w:val="000000"/>
                <w:kern w:val="0"/>
                <w:sz w:val="28"/>
                <w:szCs w:val="28"/>
              </w:rPr>
              <w:t>中青网、中国青年志愿者网、中国大学生在线、山东省教育厅、省部级政府官方网站</w:t>
            </w:r>
          </w:p>
        </w:tc>
      </w:tr>
      <w:tr>
        <w:trPr>
          <w:trHeight w:val="405"/>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三级网站</w:t>
            </w:r>
          </w:p>
        </w:tc>
        <w:tc>
          <w:tcPr>
            <w:tcW w:w="1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宋体" w:hint="eastAsia"/>
                <w:color w:val="000000"/>
                <w:sz w:val="28"/>
                <w:szCs w:val="28"/>
              </w:rPr>
            </w:pPr>
            <w:r>
              <w:rPr>
                <w:rFonts w:ascii="仿宋_GB2312" w:eastAsia="仿宋_GB2312" w:cs="宋体" w:hint="eastAsia"/>
                <w:color w:val="000000"/>
                <w:kern w:val="0"/>
                <w:sz w:val="28"/>
                <w:szCs w:val="28"/>
              </w:rPr>
              <w:t>山东学校工作网、地市级政府官方网站、新浪、搜狐、腾讯、网易等同类级别的网站其他同类级别的正规网站</w:t>
            </w:r>
          </w:p>
        </w:tc>
      </w:tr>
      <w:tr>
        <w:trPr>
          <w:trHeight w:val="810"/>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一级新媒体平台</w:t>
            </w:r>
          </w:p>
        </w:tc>
        <w:tc>
          <w:tcPr>
            <w:tcW w:w="1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宋体" w:hint="eastAsia"/>
                <w:color w:val="000000"/>
                <w:sz w:val="28"/>
                <w:szCs w:val="28"/>
              </w:rPr>
            </w:pPr>
            <w:r>
              <w:rPr>
                <w:rFonts w:ascii="仿宋_GB2312" w:eastAsia="仿宋_GB2312" w:cs="宋体" w:hint="eastAsia"/>
                <w:color w:val="000000"/>
                <w:kern w:val="0"/>
                <w:sz w:val="28"/>
                <w:szCs w:val="28"/>
              </w:rPr>
              <w:t>人民日报、新华社、央视新闻、人民网、共青团中央、中国教育报、微言教育等同级别正规新媒体平台</w:t>
            </w:r>
          </w:p>
        </w:tc>
      </w:tr>
      <w:tr>
        <w:trPr>
          <w:trHeight w:val="810"/>
        </w:trPr>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黑体" w:hint="eastAsia"/>
                <w:color w:val="000000"/>
                <w:sz w:val="28"/>
                <w:szCs w:val="28"/>
              </w:rPr>
            </w:pPr>
            <w:r>
              <w:rPr>
                <w:rFonts w:ascii="仿宋_GB2312" w:eastAsia="仿宋_GB2312" w:cs="黑体" w:hint="eastAsia"/>
                <w:color w:val="000000"/>
                <w:kern w:val="0"/>
                <w:sz w:val="28"/>
                <w:szCs w:val="28"/>
              </w:rPr>
              <w:t>二级新媒体平台</w:t>
            </w:r>
          </w:p>
        </w:tc>
        <w:tc>
          <w:tcPr>
            <w:tcW w:w="1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400" w:lineRule="exact"/>
              <w:jc w:val="center"/>
              <w:textAlignment w:val="center"/>
              <w:rPr>
                <w:rFonts w:ascii="仿宋_GB2312" w:eastAsia="仿宋_GB2312" w:cs="宋体" w:hint="eastAsia"/>
                <w:color w:val="000000"/>
                <w:sz w:val="28"/>
                <w:szCs w:val="28"/>
              </w:rPr>
            </w:pPr>
            <w:r>
              <w:rPr>
                <w:rFonts w:ascii="仿宋_GB2312" w:eastAsia="仿宋_GB2312" w:cs="宋体" w:hint="eastAsia"/>
                <w:color w:val="000000"/>
                <w:kern w:val="0"/>
                <w:sz w:val="28"/>
                <w:szCs w:val="28"/>
              </w:rPr>
              <w:t>青春山东、学校共青团、创青春、山东教育发布等同级别正规新媒体平台</w:t>
            </w:r>
          </w:p>
        </w:tc>
      </w:tr>
    </w:tbl>
    <w:p>
      <w:pPr>
        <w:widowControl/>
        <w:spacing w:line="560" w:lineRule="exact"/>
        <w:ind w:firstLineChars="200" w:firstLine="640"/>
        <w:jc w:val="left"/>
        <w:rPr>
          <w:rFonts w:ascii="仿宋_GB2312" w:eastAsia="仿宋_GB2312" w:cs="仿宋_GB2312" w:hint="eastAsia"/>
          <w:sz w:val="32"/>
          <w:szCs w:val="32"/>
        </w:rPr>
      </w:pPr>
    </w:p>
    <w:sectPr>
      <w:pgSz w:w="16838" w:h="11906" w:orient="landscape"/>
      <w:pgMar w:top="1587" w:right="2098" w:bottom="1474" w:left="1984"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altName w:val="Noto Sans CJK SC"/>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0000000000000000000"/>
    <w:charset w:val="00"/>
    <w:family w:val="auto"/>
    <w:pitch w:val="variable"/>
    <w:sig w:usb0="00000000" w:usb1="00000000" w:usb2="00000000" w:usb3="00000000" w:csb0="00000000" w:csb1="00000000"/>
  </w:font>
  <w:font w:name="Luxi Sans">
    <w:altName w:val="Noto Sans CJK SC"/>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2"/>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compatSetting w:name="compatibilityMode" w:uri="http://schemas.microsoft.com/office/word" w:val="14"/>
  </w:compat>
  <w:docVars>
    <w:docVar w:name="commondata" w:val="eyJoZGlkIjoiZWVmYjg2NWExNzFlYzRkM2I3MTQ5NzhhZWU5OTBiNT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Arial"/>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widowControl/>
      <w:spacing w:before="100" w:beforeAutospacing="1" w:after="100" w:afterAutospacing="1"/>
      <w:jc w:val="left"/>
    </w:pPr>
    <w:rPr>
      <w:rFonts w:ascii="宋体" w:eastAsia="宋体" w:cs="宋体"/>
      <w:kern w:val="0"/>
      <w:sz w:val="24"/>
      <w:szCs w:val="24"/>
    </w:rPr>
  </w:style>
  <w:style w:type="character" w:styleId="19">
    <w:name w:val="Strong"/>
    <w:basedOn w:val="10"/>
    <w:rPr>
      <w:b/>
      <w:bCs/>
    </w:rPr>
  </w:style>
  <w:style w:type="paragraph" w:customStyle="1" w:styleId="20">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111</TotalTime>
  <Application>Yozo_Office</Application>
  <Pages>1</Pages>
  <Words>19</Words>
  <Characters>22</Characters>
  <Lines>1</Lines>
  <Paragraphs>1</Paragraphs>
  <CharactersWithSpaces>22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B</dc:creator>
  <cp:lastModifiedBy>vivo用户</cp:lastModifiedBy>
  <cp:revision>4</cp:revision>
  <cp:lastPrinted>2025-09-02T07:40:00Z</cp:lastPrinted>
  <dcterms:created xsi:type="dcterms:W3CDTF">2025-06-22T10:00:00Z</dcterms:created>
  <dcterms:modified xsi:type="dcterms:W3CDTF">2025-09-03T11:47:45Z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047828E43AFE435D895613E9F7C8B848_13</vt:lpwstr>
  </property>
  <property fmtid="{D5CDD505-2E9C-101B-9397-08002B2CF9AE}" pid="4" name="KSOTemplateDocerSaveRecord">
    <vt:lpwstr>eyJoZGlkIjoiOTJjYmUyZjAzNzJjNWJiODI0NWMwYjg3NWNiZmYwM2UiLCJ1c2VySWQiOiIzODExMjgwMzIifQ==</vt:lpwstr>
  </property>
</Properties>
</file>